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2220895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שמחה </w:t>
      </w:r>
      <w:proofErr w:type="spellStart"/>
      <w:r>
        <w:rPr>
          <w:rFonts w:hint="cs"/>
          <w:b/>
          <w:bCs/>
          <w:rtl/>
        </w:rPr>
        <w:t>רוטמן</w:t>
      </w:r>
      <w:bookmarkEnd w:id="3"/>
      <w:proofErr w:type="spellEnd"/>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4C41AC06" w14:textId="2CF18FBA" w:rsidR="00026BA4" w:rsidRPr="00026BA4" w:rsidRDefault="00266D86" w:rsidP="00EF14DE">
      <w:pPr>
        <w:pStyle w:val="David"/>
        <w:ind w:left="3544"/>
        <w:rPr>
          <w:b/>
          <w:bCs/>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bookmarkStart w:id="6" w:name="LGS_Subject"/>
      <w:r w:rsidR="00026BA4">
        <w:rPr>
          <w:rFonts w:hint="cs"/>
          <w:rtl/>
        </w:rPr>
        <w:t xml:space="preserve">   </w:t>
      </w:r>
      <w:r w:rsidR="00026BA4" w:rsidRPr="00026BA4">
        <w:rPr>
          <w:rtl/>
        </w:rPr>
        <w:t>פ/48</w:t>
      </w:r>
      <w:r w:rsidR="00026BA4">
        <w:rPr>
          <w:rFonts w:hint="cs"/>
          <w:rtl/>
        </w:rPr>
        <w:t>59</w:t>
      </w:r>
      <w:r w:rsidR="00026BA4" w:rsidRPr="00026BA4">
        <w:rPr>
          <w:rtl/>
        </w:rPr>
        <w:t>/25</w:t>
      </w:r>
    </w:p>
    <w:p w14:paraId="29D70F3B" w14:textId="77777777" w:rsidR="00026BA4" w:rsidRDefault="00026BA4" w:rsidP="00026BA4">
      <w:pPr>
        <w:pStyle w:val="HeadHatzaotHok"/>
        <w:jc w:val="both"/>
        <w:rPr>
          <w:rtl/>
        </w:rPr>
      </w:pPr>
    </w:p>
    <w:p w14:paraId="7F6961AD" w14:textId="22C2E4FA" w:rsidR="00E13C27" w:rsidRPr="001F6FB4" w:rsidRDefault="00A443CF" w:rsidP="001F6FB4">
      <w:pPr>
        <w:pStyle w:val="HeadHatzaotHok"/>
        <w:rPr>
          <w:rtl/>
        </w:rPr>
      </w:pPr>
      <w:r w:rsidRPr="001F6FB4">
        <w:rPr>
          <w:rFonts w:hint="cs"/>
          <w:rtl/>
        </w:rPr>
        <w:t>הצעת חוק הכשרות המשפטית והאפוטרופסות (תיקון</w:t>
      </w:r>
      <w:r w:rsidR="00340B99" w:rsidRPr="001F6FB4">
        <w:rPr>
          <w:rFonts w:hint="cs"/>
          <w:rtl/>
        </w:rPr>
        <w:t xml:space="preserve"> </w:t>
      </w:r>
      <w:r w:rsidR="0037359D" w:rsidRPr="001F6FB4">
        <w:rPr>
          <w:rtl/>
        </w:rPr>
        <w:t>–</w:t>
      </w:r>
      <w:r w:rsidR="00340B99" w:rsidRPr="001F6FB4">
        <w:rPr>
          <w:rFonts w:hint="cs"/>
          <w:rtl/>
        </w:rPr>
        <w:t xml:space="preserve"> </w:t>
      </w:r>
      <w:r w:rsidRPr="001F6FB4">
        <w:rPr>
          <w:rFonts w:hint="cs"/>
          <w:rtl/>
        </w:rPr>
        <w:t xml:space="preserve">צמצום סמכותו של בית המשפט להטיל את ההכרעה בעניינו של קטין על </w:t>
      </w:r>
      <w:bookmarkStart w:id="7" w:name="_GoBack"/>
      <w:bookmarkEnd w:id="7"/>
      <w:r w:rsidRPr="001F6FB4">
        <w:rPr>
          <w:rFonts w:hint="cs"/>
          <w:rtl/>
        </w:rPr>
        <w:t xml:space="preserve">עובד סוציאלי וגורמים אחרים), </w:t>
      </w:r>
      <w:proofErr w:type="spellStart"/>
      <w:r w:rsidRPr="001F6FB4">
        <w:rPr>
          <w:rFonts w:hint="cs"/>
          <w:rtl/>
        </w:rPr>
        <w:t>התשפ"ד</w:t>
      </w:r>
      <w:proofErr w:type="spellEnd"/>
      <w:r w:rsidR="0037359D" w:rsidRPr="001F6FB4">
        <w:rPr>
          <w:rtl/>
        </w:rPr>
        <w:t>–</w:t>
      </w:r>
      <w:r w:rsidRPr="001F6FB4">
        <w:rPr>
          <w:rFonts w:hint="cs"/>
          <w:rtl/>
        </w:rPr>
        <w:t>2024</w:t>
      </w:r>
      <w:bookmarkEnd w:id="6"/>
    </w:p>
    <w:p w14:paraId="7F6961AE" w14:textId="3D40448E" w:rsidR="00E13C27" w:rsidRDefault="00026BA4" w:rsidP="0021633A">
      <w:pPr>
        <w:pStyle w:val="HeadDivreiHesber"/>
        <w:spacing w:before="0" w:after="0"/>
        <w:rPr>
          <w:rtl/>
        </w:rPr>
      </w:pPr>
      <w:r>
        <w:rPr>
          <w:rFonts w:hint="cs"/>
          <w:rtl/>
        </w:rPr>
        <w:t xml:space="preserve"> </w:t>
      </w: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F1D80" w14:paraId="035EEF3D" w14:textId="77777777" w:rsidTr="007B08A1">
        <w:trPr>
          <w:cantSplit/>
        </w:trPr>
        <w:tc>
          <w:tcPr>
            <w:tcW w:w="1871" w:type="dxa"/>
          </w:tcPr>
          <w:p w14:paraId="3863FF98" w14:textId="17C5EA35" w:rsidR="002F1D80" w:rsidRDefault="00DB2B0D" w:rsidP="002C3041">
            <w:pPr>
              <w:pStyle w:val="TableSideHeading"/>
              <w:keepLines w:val="0"/>
            </w:pPr>
            <w:r>
              <w:rPr>
                <w:rFonts w:hint="cs"/>
                <w:rtl/>
              </w:rPr>
              <w:t>תיקון סעיף 19</w:t>
            </w:r>
          </w:p>
        </w:tc>
        <w:tc>
          <w:tcPr>
            <w:tcW w:w="624" w:type="dxa"/>
          </w:tcPr>
          <w:p w14:paraId="6F513EF6" w14:textId="05A628AF" w:rsidR="002F1D80" w:rsidRDefault="00DB2B0D" w:rsidP="002C3041">
            <w:pPr>
              <w:pStyle w:val="TableText"/>
              <w:keepLines w:val="0"/>
            </w:pPr>
            <w:r>
              <w:rPr>
                <w:rFonts w:hint="cs"/>
                <w:rtl/>
              </w:rPr>
              <w:t>1.</w:t>
            </w:r>
          </w:p>
        </w:tc>
        <w:tc>
          <w:tcPr>
            <w:tcW w:w="7143" w:type="dxa"/>
          </w:tcPr>
          <w:p w14:paraId="1AE94DEB" w14:textId="6EBE6623" w:rsidR="002F1D80" w:rsidRPr="003903DD" w:rsidRDefault="00DB2B0D" w:rsidP="007B08A1">
            <w:pPr>
              <w:pStyle w:val="TableBlock"/>
            </w:pPr>
            <w:r w:rsidRPr="003903DD">
              <w:rPr>
                <w:rtl/>
              </w:rPr>
              <w:t>בחוק הכשרות המ</w:t>
            </w:r>
            <w:r w:rsidR="0037359D">
              <w:rPr>
                <w:rtl/>
              </w:rPr>
              <w:t xml:space="preserve">שפטית והאפוטרופסות, </w:t>
            </w:r>
            <w:proofErr w:type="spellStart"/>
            <w:r w:rsidR="0037359D">
              <w:rPr>
                <w:rtl/>
              </w:rPr>
              <w:t>התשכ"ב</w:t>
            </w:r>
            <w:proofErr w:type="spellEnd"/>
            <w:r w:rsidR="0037359D">
              <w:rPr>
                <w:rtl/>
              </w:rPr>
              <w:t>–1962</w:t>
            </w:r>
            <w:r w:rsidR="00340B99" w:rsidRPr="007B08A1">
              <w:rPr>
                <w:rStyle w:val="a5"/>
                <w:rFonts w:ascii="David" w:hAnsi="David"/>
                <w:sz w:val="26"/>
                <w:rtl/>
              </w:rPr>
              <w:footnoteReference w:id="2"/>
            </w:r>
            <w:r w:rsidR="007B08A1">
              <w:rPr>
                <w:rFonts w:hint="cs"/>
                <w:rtl/>
              </w:rPr>
              <w:t>,</w:t>
            </w:r>
            <w:r w:rsidRPr="003903DD">
              <w:rPr>
                <w:rtl/>
              </w:rPr>
              <w:t xml:space="preserve"> בסעיף 19, </w:t>
            </w:r>
            <w:proofErr w:type="spellStart"/>
            <w:r w:rsidRPr="003903DD">
              <w:rPr>
                <w:rtl/>
              </w:rPr>
              <w:t>הסיפה</w:t>
            </w:r>
            <w:proofErr w:type="spellEnd"/>
            <w:r w:rsidRPr="003903DD">
              <w:rPr>
                <w:rtl/>
              </w:rPr>
              <w:t xml:space="preserve"> החל במילים "או יטיל את ההכרעה" – תימחק</w:t>
            </w:r>
            <w:r w:rsidRPr="003903DD">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3D5411B8" w14:textId="4624C2C8" w:rsidR="00DB2B0D" w:rsidRPr="007B08A1" w:rsidRDefault="00DB2B0D" w:rsidP="00EF14DE">
      <w:pPr>
        <w:pStyle w:val="Hesber"/>
        <w:spacing w:line="276" w:lineRule="auto"/>
        <w:rPr>
          <w:rtl/>
        </w:rPr>
      </w:pPr>
      <w:r w:rsidRPr="007B08A1">
        <w:rPr>
          <w:rFonts w:hint="cs"/>
          <w:rtl/>
        </w:rPr>
        <w:t>סעיף 19 לחוק הכשרות המשפטית והאפוטרופסות</w:t>
      </w:r>
      <w:r w:rsidR="00F12A80" w:rsidRPr="007B08A1">
        <w:rPr>
          <w:rFonts w:hint="cs"/>
          <w:rtl/>
        </w:rPr>
        <w:t>,</w:t>
      </w:r>
      <w:r w:rsidR="00340B99" w:rsidRPr="007B08A1">
        <w:rPr>
          <w:rFonts w:hint="cs"/>
          <w:rtl/>
        </w:rPr>
        <w:t xml:space="preserve"> </w:t>
      </w:r>
      <w:proofErr w:type="spellStart"/>
      <w:r w:rsidR="00340B99" w:rsidRPr="007B08A1">
        <w:rPr>
          <w:rFonts w:hint="cs"/>
          <w:rtl/>
        </w:rPr>
        <w:t>התשכ"ב</w:t>
      </w:r>
      <w:proofErr w:type="spellEnd"/>
      <w:r w:rsidR="00340B99" w:rsidRPr="007B08A1">
        <w:rPr>
          <w:rtl/>
        </w:rPr>
        <w:t>–</w:t>
      </w:r>
      <w:r w:rsidR="00340B99" w:rsidRPr="007B08A1">
        <w:rPr>
          <w:rFonts w:hint="cs"/>
          <w:rtl/>
        </w:rPr>
        <w:t>1962,</w:t>
      </w:r>
      <w:r w:rsidR="007B08A1">
        <w:rPr>
          <w:rFonts w:hint="cs"/>
          <w:rtl/>
        </w:rPr>
        <w:t xml:space="preserve"> </w:t>
      </w:r>
      <w:r w:rsidRPr="007B08A1">
        <w:rPr>
          <w:rFonts w:hint="cs"/>
          <w:rtl/>
        </w:rPr>
        <w:t>ק</w:t>
      </w:r>
      <w:r w:rsidR="007B08A1">
        <w:rPr>
          <w:rFonts w:hint="cs"/>
          <w:rtl/>
        </w:rPr>
        <w:t>ו</w:t>
      </w:r>
      <w:r w:rsidRPr="007B08A1">
        <w:rPr>
          <w:rFonts w:hint="cs"/>
          <w:rtl/>
        </w:rPr>
        <w:t>בע כי אם "</w:t>
      </w:r>
      <w:r w:rsidRPr="007B08A1">
        <w:rPr>
          <w:rtl/>
        </w:rPr>
        <w:t>לא באו ההורים לידי הסכמה ביניהם בענ</w:t>
      </w:r>
      <w:r w:rsidRPr="007B08A1">
        <w:rPr>
          <w:rFonts w:hint="cs"/>
          <w:rtl/>
        </w:rPr>
        <w:t>י</w:t>
      </w:r>
      <w:r w:rsidRPr="007B08A1">
        <w:rPr>
          <w:rtl/>
        </w:rPr>
        <w:t xml:space="preserve">ין אחר הנתון </w:t>
      </w:r>
      <w:proofErr w:type="spellStart"/>
      <w:r w:rsidRPr="007B08A1">
        <w:rPr>
          <w:rtl/>
        </w:rPr>
        <w:t>לאפוטרופסותם</w:t>
      </w:r>
      <w:proofErr w:type="spellEnd"/>
      <w:r w:rsidRPr="007B08A1">
        <w:rPr>
          <w:rtl/>
        </w:rPr>
        <w:t>, רשאים הם יחד לפנות לבית המשפט, ובית המשפט, אם לא עלה בידו להביאם לידי הסכמה ואם ראה שיש מקום להכריע בדבר, יכריע הוא בעצמו או יטיל את ההכרעה על מי שימצא לנכון</w:t>
      </w:r>
      <w:r w:rsidRPr="007B08A1">
        <w:rPr>
          <w:rFonts w:hint="cs"/>
          <w:rtl/>
        </w:rPr>
        <w:t>"</w:t>
      </w:r>
      <w:r w:rsidRPr="007B08A1">
        <w:rPr>
          <w:rtl/>
        </w:rPr>
        <w:t>.</w:t>
      </w:r>
      <w:r w:rsidRPr="007B08A1">
        <w:rPr>
          <w:rFonts w:hint="cs"/>
          <w:rtl/>
        </w:rPr>
        <w:t xml:space="preserve"> בפועל, פעמים רבות מטיל בית המשפט את ההכרעה על פקידי הסעד. האצלת הסמכות אל פקידי הסעד מעניקה לפקידים סמכות מעין שיפוטית אשר אינה בגדר המומחיות המקצועית שלהם</w:t>
      </w:r>
      <w:r w:rsidR="00F12A80" w:rsidRPr="007B08A1">
        <w:rPr>
          <w:rFonts w:hint="cs"/>
          <w:rtl/>
        </w:rPr>
        <w:t>. סמכות זאת</w:t>
      </w:r>
      <w:r w:rsidRPr="007B08A1">
        <w:rPr>
          <w:rFonts w:hint="cs"/>
          <w:rtl/>
        </w:rPr>
        <w:t xml:space="preserve"> כוללת שיקול דעת רחב, ב</w:t>
      </w:r>
      <w:r w:rsidR="00F12A80" w:rsidRPr="007B08A1">
        <w:rPr>
          <w:rFonts w:hint="cs"/>
          <w:rtl/>
        </w:rPr>
        <w:t>היעדר</w:t>
      </w:r>
      <w:r w:rsidRPr="007B08A1">
        <w:rPr>
          <w:rFonts w:hint="cs"/>
          <w:rtl/>
        </w:rPr>
        <w:t xml:space="preserve"> כל פיקוח על החלטותיהם.</w:t>
      </w:r>
    </w:p>
    <w:p w14:paraId="5D38890C" w14:textId="77777777" w:rsidR="00DB2B0D" w:rsidRPr="007B08A1" w:rsidRDefault="00DB2B0D" w:rsidP="00EF14DE">
      <w:pPr>
        <w:pStyle w:val="Hesber"/>
        <w:spacing w:line="276" w:lineRule="auto"/>
        <w:rPr>
          <w:rtl/>
        </w:rPr>
      </w:pPr>
      <w:r w:rsidRPr="007B08A1">
        <w:rPr>
          <w:rFonts w:hint="cs"/>
          <w:rtl/>
        </w:rPr>
        <w:t xml:space="preserve">במקרים רבים ממליץ פקיד הסעד על הסדר ראייה לטעמו ומפעיל לחץ על בני הזוג לקבלו. הצדדים, המודעים לכוח הרב הנתון בידי פקיד הסעד, נאלצים לא אחת לקבל את ההסדר המוצע, והכמעט כפוי, כדי שתנאי הפגישה עם ילדיהם לא יורעו. </w:t>
      </w:r>
    </w:p>
    <w:p w14:paraId="5CEE7CF4" w14:textId="77777777" w:rsidR="00DB2B0D" w:rsidRPr="007B08A1" w:rsidRDefault="00DB2B0D" w:rsidP="00EF14DE">
      <w:pPr>
        <w:pStyle w:val="Hesber"/>
        <w:spacing w:line="276" w:lineRule="auto"/>
        <w:rPr>
          <w:rtl/>
        </w:rPr>
      </w:pPr>
      <w:r w:rsidRPr="007B08A1">
        <w:rPr>
          <w:rFonts w:hint="cs"/>
          <w:rtl/>
        </w:rPr>
        <w:t xml:space="preserve">לפיכך, מוצע לבטל את האפשרות של בית המשפט לאצול את סמכותו להכריע בעניין הסדרי ראייה ובכל עניין אחר הנוגע לקטין ושההורים אינם מסכימים לגביו. כך, בית המשפט יוכל לשמוע את המלצותיהם של הגורמים המקצועיים המעורבים, אך הוא יהיה הגורם המכריע הבלעדי לעניין זה.    </w:t>
      </w:r>
    </w:p>
    <w:p w14:paraId="443C968D" w14:textId="09011D50" w:rsidR="00DB2B0D" w:rsidRPr="007B08A1" w:rsidRDefault="00DB2B0D" w:rsidP="00EF14DE">
      <w:pPr>
        <w:pStyle w:val="Hesber"/>
        <w:spacing w:line="276" w:lineRule="auto"/>
        <w:rPr>
          <w:rtl/>
        </w:rPr>
      </w:pPr>
      <w:r w:rsidRPr="007B08A1">
        <w:rPr>
          <w:rFonts w:hint="cs"/>
          <w:rtl/>
        </w:rPr>
        <w:t>הצעות חוק זהות הונחו על שולחן הכנסת השבע-עשרה על ידי חבר הכנסת דוד אזולאי</w:t>
      </w:r>
      <w:r w:rsidR="00EF14DE">
        <w:rPr>
          <w:rFonts w:hint="cs"/>
          <w:rtl/>
        </w:rPr>
        <w:t xml:space="preserve"> וקבוצת חברי הכנסת (פ/3331/17), </w:t>
      </w:r>
      <w:r w:rsidRPr="007B08A1">
        <w:rPr>
          <w:rFonts w:hint="cs"/>
          <w:rtl/>
        </w:rPr>
        <w:t>על שולחן הכנסת השמונה-עשרה על ידי חבר הכנסת דוד אזולאי</w:t>
      </w:r>
      <w:r w:rsidR="00EF14DE">
        <w:rPr>
          <w:rFonts w:hint="cs"/>
          <w:rtl/>
        </w:rPr>
        <w:t xml:space="preserve"> (פ/1146/18), ועל שולחן הכנסת התשע-עשרה על ידי חבר</w:t>
      </w:r>
      <w:r w:rsidRPr="007B08A1">
        <w:rPr>
          <w:rFonts w:hint="cs"/>
          <w:rtl/>
        </w:rPr>
        <w:t xml:space="preserve"> הכנסת דוד אזולאי</w:t>
      </w:r>
      <w:r w:rsidR="00EF14DE">
        <w:rPr>
          <w:rFonts w:hint="cs"/>
          <w:rtl/>
        </w:rPr>
        <w:t xml:space="preserve"> וקבוצת חברי הכנסת</w:t>
      </w:r>
      <w:r w:rsidRPr="007B08A1">
        <w:rPr>
          <w:rFonts w:hint="cs"/>
          <w:rtl/>
        </w:rPr>
        <w:t xml:space="preserve"> (</w:t>
      </w:r>
      <w:bookmarkStart w:id="8" w:name="LawNum"/>
      <w:r w:rsidRPr="007B08A1">
        <w:rPr>
          <w:rtl/>
        </w:rPr>
        <w:t>פ/1568/19</w:t>
      </w:r>
      <w:bookmarkEnd w:id="8"/>
      <w:r w:rsidRPr="007B08A1">
        <w:rPr>
          <w:rFonts w:hint="cs"/>
          <w:rtl/>
        </w:rPr>
        <w:t>).</w:t>
      </w:r>
    </w:p>
    <w:p w14:paraId="01CF3102" w14:textId="0E30A90B" w:rsidR="00DB2B0D" w:rsidRDefault="00DB2B0D" w:rsidP="00E13C27">
      <w:pPr>
        <w:pStyle w:val="Hesber"/>
        <w:rPr>
          <w:rtl/>
        </w:rPr>
      </w:pPr>
    </w:p>
    <w:p w14:paraId="11610290" w14:textId="77777777" w:rsidR="00C352EC" w:rsidRDefault="00026BA4" w:rsidP="00EF14DE">
      <w:pPr>
        <w:spacing w:line="240" w:lineRule="auto"/>
        <w:jc w:val="left"/>
      </w:pPr>
      <w:bookmarkStart w:id="9" w:name="selectedDocDateB"/>
      <w:bookmarkEnd w:id="9"/>
      <w:r>
        <w:rPr>
          <w:rFonts w:eastAsia="David" w:hint="cs"/>
          <w:sz w:val="26"/>
          <w:szCs w:val="26"/>
          <w:rtl/>
        </w:rPr>
        <w:t>--------------------------------</w:t>
      </w:r>
    </w:p>
    <w:p w14:paraId="51AC175E" w14:textId="77777777" w:rsidR="00C352EC" w:rsidRDefault="00026BA4" w:rsidP="00EF14DE">
      <w:pPr>
        <w:spacing w:line="240" w:lineRule="auto"/>
        <w:jc w:val="left"/>
      </w:pPr>
      <w:r>
        <w:rPr>
          <w:rFonts w:eastAsia="David" w:hint="cs"/>
          <w:sz w:val="26"/>
          <w:szCs w:val="26"/>
          <w:rtl/>
        </w:rPr>
        <w:t>הוגשה ליו"ר הכנסת והסגנים</w:t>
      </w:r>
    </w:p>
    <w:p w14:paraId="52094ECF" w14:textId="77777777" w:rsidR="00C352EC" w:rsidRDefault="00026BA4" w:rsidP="00EF14DE">
      <w:pPr>
        <w:spacing w:line="240" w:lineRule="auto"/>
        <w:jc w:val="left"/>
      </w:pPr>
      <w:r>
        <w:rPr>
          <w:rFonts w:eastAsia="David" w:hint="cs"/>
          <w:sz w:val="26"/>
          <w:szCs w:val="26"/>
          <w:rtl/>
        </w:rPr>
        <w:t>והונחה על שולחן הכנסת ביום</w:t>
      </w:r>
    </w:p>
    <w:p w14:paraId="4A2136FC" w14:textId="77777777" w:rsidR="00C352EC" w:rsidRDefault="00026BA4" w:rsidP="00EF14DE">
      <w:pPr>
        <w:spacing w:line="240" w:lineRule="auto"/>
        <w:jc w:val="left"/>
      </w:pPr>
      <w:r>
        <w:rPr>
          <w:rFonts w:eastAsia="David" w:hint="cs"/>
          <w:sz w:val="26"/>
          <w:szCs w:val="26"/>
          <w:rtl/>
        </w:rPr>
        <w:t xml:space="preserve">י"ח בתמוז </w:t>
      </w:r>
      <w:proofErr w:type="spellStart"/>
      <w:r>
        <w:rPr>
          <w:rFonts w:eastAsia="David" w:hint="cs"/>
          <w:sz w:val="26"/>
          <w:szCs w:val="26"/>
          <w:rtl/>
        </w:rPr>
        <w:t>התשפ"ד</w:t>
      </w:r>
      <w:proofErr w:type="spellEnd"/>
      <w:r>
        <w:rPr>
          <w:rFonts w:eastAsia="David" w:hint="cs"/>
          <w:sz w:val="26"/>
          <w:szCs w:val="26"/>
          <w:rtl/>
        </w:rPr>
        <w:t xml:space="preserve"> (24.07.2024) </w:t>
      </w:r>
    </w:p>
    <w:p w14:paraId="5F7472B2" w14:textId="77777777" w:rsidR="00C352EC" w:rsidRDefault="00C352EC">
      <w:pPr>
        <w:spacing w:line="276" w:lineRule="auto"/>
        <w:jc w:val="left"/>
      </w:pPr>
    </w:p>
    <w:sectPr w:rsidR="00C352EC" w:rsidSect="007B08A1">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EC9F0FD"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F14DE">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7B08A1">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741F462" w14:textId="7E71559F" w:rsidR="00340B99" w:rsidRDefault="00340B99">
      <w:pPr>
        <w:pStyle w:val="a4"/>
      </w:pPr>
      <w:r>
        <w:rPr>
          <w:rStyle w:val="a5"/>
        </w:rPr>
        <w:footnoteRef/>
      </w:r>
      <w:r>
        <w:rPr>
          <w:rtl/>
        </w:rPr>
        <w:t xml:space="preserve"> </w:t>
      </w:r>
      <w:r>
        <w:rPr>
          <w:rFonts w:hint="cs"/>
          <w:rtl/>
        </w:rPr>
        <w:t xml:space="preserve">ס"ח </w:t>
      </w:r>
      <w:proofErr w:type="spellStart"/>
      <w:r>
        <w:rPr>
          <w:rFonts w:hint="cs"/>
          <w:rtl/>
        </w:rPr>
        <w:t>התשכ"ב</w:t>
      </w:r>
      <w:proofErr w:type="spellEnd"/>
      <w:r>
        <w:rPr>
          <w:rFonts w:hint="cs"/>
          <w:rtl/>
        </w:rPr>
        <w:t>, עמ' 120.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6BA4"/>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F6FB4"/>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40B99"/>
    <w:rsid w:val="0036422C"/>
    <w:rsid w:val="003710F6"/>
    <w:rsid w:val="0037359D"/>
    <w:rsid w:val="00386E88"/>
    <w:rsid w:val="003903DD"/>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B08A1"/>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2BAF"/>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352EC"/>
    <w:rsid w:val="00C9176A"/>
    <w:rsid w:val="00CF1AA2"/>
    <w:rsid w:val="00D142D3"/>
    <w:rsid w:val="00D17774"/>
    <w:rsid w:val="00D63620"/>
    <w:rsid w:val="00D8410D"/>
    <w:rsid w:val="00D867D7"/>
    <w:rsid w:val="00DB2B0D"/>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14DE"/>
    <w:rsid w:val="00EF3A3A"/>
    <w:rsid w:val="00F12A80"/>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ECE8402-6E24-4850-A63D-FC7589AC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8A1"/>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B08A1"/>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B08A1"/>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B08A1"/>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B08A1"/>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B08A1"/>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B08A1"/>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B08A1"/>
    <w:rPr>
      <w:sz w:val="36"/>
      <w:szCs w:val="52"/>
    </w:rPr>
  </w:style>
  <w:style w:type="paragraph" w:customStyle="1" w:styleId="Cover3-Haknesset">
    <w:name w:val="Cover 3-Haknesset"/>
    <w:basedOn w:val="Cover1-Reshumot"/>
    <w:rsid w:val="007B08A1"/>
    <w:rPr>
      <w:b/>
      <w:bCs/>
      <w:spacing w:val="60"/>
    </w:rPr>
  </w:style>
  <w:style w:type="paragraph" w:customStyle="1" w:styleId="Cover4-Date">
    <w:name w:val="Cover 4-Date"/>
    <w:basedOn w:val="a"/>
    <w:rsid w:val="007B08A1"/>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B08A1"/>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B08A1"/>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B08A1"/>
    <w:pPr>
      <w:spacing w:before="120" w:after="120"/>
    </w:pPr>
    <w:rPr>
      <w:color w:val="FF0000"/>
      <w:w w:val="80"/>
    </w:rPr>
  </w:style>
  <w:style w:type="paragraph" w:styleId="a3">
    <w:name w:val="endnote text"/>
    <w:basedOn w:val="a"/>
    <w:semiHidden/>
    <w:rsid w:val="007B08A1"/>
    <w:pPr>
      <w:ind w:left="227" w:hanging="227"/>
    </w:pPr>
    <w:rPr>
      <w:sz w:val="14"/>
      <w:szCs w:val="22"/>
    </w:rPr>
  </w:style>
  <w:style w:type="paragraph" w:customStyle="1" w:styleId="TableText">
    <w:name w:val="Table Text"/>
    <w:basedOn w:val="a"/>
    <w:rsid w:val="007B08A1"/>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B08A1"/>
    <w:pPr>
      <w:outlineLvl w:val="2"/>
    </w:pPr>
  </w:style>
  <w:style w:type="paragraph" w:customStyle="1" w:styleId="TableBlock">
    <w:name w:val="Table Block"/>
    <w:basedOn w:val="TableText"/>
    <w:rsid w:val="007B08A1"/>
    <w:pPr>
      <w:jc w:val="both"/>
    </w:pPr>
  </w:style>
  <w:style w:type="paragraph" w:customStyle="1" w:styleId="TableHead">
    <w:name w:val="Table Head"/>
    <w:basedOn w:val="TableText"/>
    <w:rsid w:val="007B08A1"/>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B08A1"/>
    <w:pPr>
      <w:outlineLvl w:val="9"/>
    </w:pPr>
  </w:style>
  <w:style w:type="paragraph" w:customStyle="1" w:styleId="Hesber">
    <w:name w:val="Hesber"/>
    <w:basedOn w:val="a"/>
    <w:rsid w:val="007B08A1"/>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7B08A1"/>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7B08A1"/>
    <w:rPr>
      <w:vertAlign w:val="superscript"/>
    </w:rPr>
  </w:style>
  <w:style w:type="paragraph" w:customStyle="1" w:styleId="HesberHeading">
    <w:name w:val="Hesber Heading"/>
    <w:basedOn w:val="Hesber"/>
    <w:rsid w:val="007B08A1"/>
    <w:pPr>
      <w:tabs>
        <w:tab w:val="left" w:pos="624"/>
        <w:tab w:val="left" w:pos="1247"/>
      </w:tabs>
    </w:pPr>
    <w:rPr>
      <w:b/>
      <w:bCs/>
    </w:rPr>
  </w:style>
  <w:style w:type="paragraph" w:customStyle="1" w:styleId="HesberWriters">
    <w:name w:val="Hesber Writers"/>
    <w:basedOn w:val="Hesber"/>
    <w:rsid w:val="007B08A1"/>
    <w:pPr>
      <w:spacing w:before="120" w:after="120"/>
      <w:ind w:left="1418"/>
      <w:jc w:val="right"/>
    </w:pPr>
    <w:rPr>
      <w:b/>
      <w:bCs/>
    </w:rPr>
  </w:style>
  <w:style w:type="paragraph" w:customStyle="1" w:styleId="Hesber1st">
    <w:name w:val="Hesber 1st"/>
    <w:basedOn w:val="Hesber"/>
    <w:rsid w:val="007B08A1"/>
    <w:pPr>
      <w:tabs>
        <w:tab w:val="left" w:pos="680"/>
        <w:tab w:val="left" w:pos="1020"/>
      </w:tabs>
      <w:ind w:firstLine="0"/>
    </w:pPr>
  </w:style>
  <w:style w:type="character" w:styleId="a6">
    <w:name w:val="endnote reference"/>
    <w:basedOn w:val="a0"/>
    <w:semiHidden/>
    <w:rsid w:val="007B08A1"/>
    <w:rPr>
      <w:vertAlign w:val="superscript"/>
    </w:rPr>
  </w:style>
  <w:style w:type="paragraph" w:customStyle="1" w:styleId="TableBlockOutdent">
    <w:name w:val="Table BlockOutdent"/>
    <w:basedOn w:val="TableBlock"/>
    <w:rsid w:val="007B08A1"/>
    <w:pPr>
      <w:ind w:left="624" w:hanging="624"/>
    </w:pPr>
  </w:style>
  <w:style w:type="paragraph" w:styleId="a7">
    <w:name w:val="header"/>
    <w:basedOn w:val="a"/>
    <w:rsid w:val="007B08A1"/>
    <w:pPr>
      <w:tabs>
        <w:tab w:val="center" w:pos="4153"/>
        <w:tab w:val="right" w:pos="8306"/>
      </w:tabs>
    </w:pPr>
  </w:style>
  <w:style w:type="paragraph" w:styleId="a8">
    <w:name w:val="footer"/>
    <w:basedOn w:val="a"/>
    <w:rsid w:val="007B08A1"/>
    <w:pPr>
      <w:tabs>
        <w:tab w:val="center" w:pos="4153"/>
        <w:tab w:val="right" w:pos="8306"/>
      </w:tabs>
    </w:pPr>
  </w:style>
  <w:style w:type="paragraph" w:customStyle="1" w:styleId="HeadDivreiHesber">
    <w:name w:val="Head DivreiHesber"/>
    <w:basedOn w:val="a"/>
    <w:rsid w:val="007B08A1"/>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B08A1"/>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7B08A1"/>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7B08A1"/>
    <w:rPr>
      <w:rFonts w:asciiTheme="majorHAnsi" w:eastAsiaTheme="majorEastAsia" w:hAnsiTheme="majorHAnsi" w:cs="David"/>
      <w:bCs/>
      <w:sz w:val="32"/>
      <w:szCs w:val="36"/>
    </w:rPr>
  </w:style>
  <w:style w:type="character" w:customStyle="1" w:styleId="20">
    <w:name w:val="כותרת 2 תו"/>
    <w:basedOn w:val="a0"/>
    <w:link w:val="2"/>
    <w:rsid w:val="007B08A1"/>
    <w:rPr>
      <w:rFonts w:asciiTheme="majorHAnsi" w:eastAsiaTheme="majorEastAsia" w:hAnsiTheme="majorHAnsi" w:cs="David"/>
      <w:bCs/>
      <w:sz w:val="26"/>
      <w:szCs w:val="36"/>
      <w:u w:val="single"/>
    </w:rPr>
  </w:style>
  <w:style w:type="character" w:customStyle="1" w:styleId="30">
    <w:name w:val="כותרת 3 תו"/>
    <w:basedOn w:val="a0"/>
    <w:link w:val="3"/>
    <w:rsid w:val="007B08A1"/>
    <w:rPr>
      <w:rFonts w:asciiTheme="majorHAnsi" w:eastAsiaTheme="majorEastAsia" w:hAnsiTheme="majorHAnsi" w:cs="David"/>
      <w:sz w:val="24"/>
      <w:szCs w:val="28"/>
      <w:u w:val="double"/>
    </w:rPr>
  </w:style>
  <w:style w:type="character" w:customStyle="1" w:styleId="40">
    <w:name w:val="כותרת 4 תו"/>
    <w:basedOn w:val="a0"/>
    <w:link w:val="4"/>
    <w:uiPriority w:val="9"/>
    <w:rsid w:val="007B08A1"/>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B08A1"/>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7B08A1"/>
    <w:pPr>
      <w:widowControl/>
      <w:spacing w:before="120" w:after="120"/>
      <w:outlineLvl w:val="9"/>
    </w:pPr>
    <w:rPr>
      <w:rtl/>
      <w:cs/>
    </w:rPr>
  </w:style>
  <w:style w:type="paragraph" w:styleId="TOC1">
    <w:name w:val="toc 1"/>
    <w:basedOn w:val="a"/>
    <w:next w:val="a"/>
    <w:autoRedefine/>
    <w:uiPriority w:val="39"/>
    <w:unhideWhenUsed/>
    <w:rsid w:val="007B08A1"/>
    <w:pPr>
      <w:tabs>
        <w:tab w:val="right" w:leader="dot" w:pos="9629"/>
      </w:tabs>
      <w:spacing w:after="100"/>
    </w:pPr>
    <w:rPr>
      <w:bCs/>
      <w:szCs w:val="22"/>
    </w:rPr>
  </w:style>
  <w:style w:type="paragraph" w:styleId="TOC2">
    <w:name w:val="toc 2"/>
    <w:basedOn w:val="a"/>
    <w:next w:val="a"/>
    <w:uiPriority w:val="39"/>
    <w:unhideWhenUsed/>
    <w:rsid w:val="007B08A1"/>
    <w:pPr>
      <w:tabs>
        <w:tab w:val="right" w:leader="dot" w:pos="9628"/>
      </w:tabs>
      <w:spacing w:after="100"/>
    </w:pPr>
    <w:rPr>
      <w:szCs w:val="22"/>
    </w:rPr>
  </w:style>
  <w:style w:type="character" w:styleId="Hyperlink">
    <w:name w:val="Hyperlink"/>
    <w:basedOn w:val="a0"/>
    <w:uiPriority w:val="99"/>
    <w:unhideWhenUsed/>
    <w:rsid w:val="007B08A1"/>
    <w:rPr>
      <w:color w:val="0000FF" w:themeColor="hyperlink"/>
      <w:u w:val="single"/>
    </w:rPr>
  </w:style>
  <w:style w:type="paragraph" w:styleId="TOC3">
    <w:name w:val="toc 3"/>
    <w:basedOn w:val="a"/>
    <w:next w:val="a"/>
    <w:uiPriority w:val="39"/>
    <w:unhideWhenUsed/>
    <w:rsid w:val="007B08A1"/>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7B08A1"/>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B08A1"/>
    <w:pPr>
      <w:tabs>
        <w:tab w:val="right" w:leader="dot" w:pos="9628"/>
      </w:tabs>
      <w:spacing w:after="100"/>
      <w:ind w:left="567"/>
    </w:pPr>
    <w:rPr>
      <w:szCs w:val="22"/>
    </w:rPr>
  </w:style>
  <w:style w:type="paragraph" w:styleId="TOC6">
    <w:name w:val="toc 6"/>
    <w:basedOn w:val="a"/>
    <w:next w:val="a"/>
    <w:autoRedefine/>
    <w:semiHidden/>
    <w:unhideWhenUsed/>
    <w:rsid w:val="007B08A1"/>
    <w:pPr>
      <w:spacing w:after="100"/>
      <w:ind w:left="850"/>
    </w:pPr>
  </w:style>
  <w:style w:type="paragraph" w:styleId="TOC7">
    <w:name w:val="toc 7"/>
    <w:basedOn w:val="a"/>
    <w:next w:val="a"/>
    <w:autoRedefine/>
    <w:semiHidden/>
    <w:unhideWhenUsed/>
    <w:rsid w:val="007B08A1"/>
    <w:pPr>
      <w:spacing w:after="100"/>
      <w:ind w:left="1020"/>
    </w:pPr>
  </w:style>
  <w:style w:type="paragraph" w:styleId="TOC8">
    <w:name w:val="toc 8"/>
    <w:basedOn w:val="a"/>
    <w:next w:val="a"/>
    <w:autoRedefine/>
    <w:semiHidden/>
    <w:unhideWhenUsed/>
    <w:rsid w:val="007B08A1"/>
    <w:pPr>
      <w:spacing w:after="100"/>
      <w:ind w:left="1190"/>
    </w:pPr>
  </w:style>
  <w:style w:type="paragraph" w:styleId="TOC9">
    <w:name w:val="toc 9"/>
    <w:basedOn w:val="a"/>
    <w:next w:val="a"/>
    <w:autoRedefine/>
    <w:semiHidden/>
    <w:unhideWhenUsed/>
    <w:rsid w:val="007B08A1"/>
    <w:pPr>
      <w:spacing w:after="100"/>
      <w:ind w:left="1360"/>
    </w:pPr>
  </w:style>
  <w:style w:type="paragraph" w:customStyle="1" w:styleId="TableHead2">
    <w:name w:val="Table Head2"/>
    <w:basedOn w:val="TableHead"/>
    <w:qFormat/>
    <w:rsid w:val="007B08A1"/>
    <w:pPr>
      <w:outlineLvl w:val="9"/>
    </w:pPr>
  </w:style>
  <w:style w:type="paragraph" w:customStyle="1" w:styleId="TableSideHeading2">
    <w:name w:val="Table SideHeading2"/>
    <w:basedOn w:val="TableSideHeading"/>
    <w:autoRedefine/>
    <w:qFormat/>
    <w:rsid w:val="007B08A1"/>
    <w:pPr>
      <w:keepLines w:val="0"/>
      <w:outlineLvl w:val="9"/>
    </w:pPr>
  </w:style>
  <w:style w:type="paragraph" w:customStyle="1" w:styleId="0">
    <w:name w:val="סגנון שורה ראשונה:  0  ס''מ"/>
    <w:basedOn w:val="2"/>
    <w:rsid w:val="007B08A1"/>
    <w:rPr>
      <w:rFonts w:eastAsia="Times New Roman"/>
    </w:rPr>
  </w:style>
  <w:style w:type="paragraph" w:styleId="ae">
    <w:name w:val="List Paragraph"/>
    <w:basedOn w:val="a"/>
    <w:uiPriority w:val="34"/>
    <w:qFormat/>
    <w:rsid w:val="007B08A1"/>
    <w:pPr>
      <w:widowControl/>
      <w:spacing w:line="259" w:lineRule="auto"/>
    </w:pPr>
    <w:rPr>
      <w:rFonts w:asciiTheme="minorHAnsi" w:hAnsiTheme="minorHAnsi"/>
      <w:sz w:val="22"/>
    </w:rPr>
  </w:style>
  <w:style w:type="table" w:styleId="af">
    <w:name w:val="Table Grid"/>
    <w:basedOn w:val="a1"/>
    <w:rsid w:val="007B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B08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B08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7B08A1"/>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B08A1"/>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F76DEC23-1255-43FE-8F60-A4E59EDC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infopath/2007/PartnerControls"/>
    <ds:schemaRef ds:uri="http://schemas.microsoft.com/office/2006/documentManagement/types"/>
    <ds:schemaRef ds:uri="290d5b49-c690-4c6f-bbb9-1e50dab33ee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A65180-3C95-45EE-90C0-E10E5D586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266</Words>
  <Characters>1518</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13</cp:revision>
  <cp:lastPrinted>2024-07-24T12:05:00Z</cp:lastPrinted>
  <dcterms:created xsi:type="dcterms:W3CDTF">2015-04-20T09:58:00Z</dcterms:created>
  <dcterms:modified xsi:type="dcterms:W3CDTF">2024-07-24T12:05:00Z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2220895</vt:r8>
  </property>
</Properties>
</file>